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1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760"/>
        <w:gridCol w:w="2380"/>
      </w:tblGrid>
      <w:tr w:rsidR="00E74171" w:rsidRPr="00E74171" w:rsidTr="00E74171">
        <w:trPr>
          <w:trHeight w:val="997"/>
        </w:trPr>
        <w:tc>
          <w:tcPr>
            <w:tcW w:w="97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4171" w:rsidRPr="00E74171" w:rsidRDefault="00E74171" w:rsidP="00E74171">
            <w:r w:rsidRPr="00E74171">
              <w:rPr>
                <w:b/>
                <w:bCs/>
              </w:rPr>
              <w:t>Կատեգորիա</w:t>
            </w:r>
          </w:p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472C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4171" w:rsidRPr="00E74171" w:rsidRDefault="00E74171" w:rsidP="00E74171">
            <w:r w:rsidRPr="00E74171">
              <w:rPr>
                <w:b/>
                <w:bCs/>
              </w:rPr>
              <w:t xml:space="preserve">Պետությունների քանակը </w:t>
            </w:r>
          </w:p>
        </w:tc>
      </w:tr>
      <w:tr w:rsidR="00E74171" w:rsidRPr="00E74171" w:rsidTr="00E74171">
        <w:trPr>
          <w:trHeight w:val="1408"/>
        </w:trPr>
        <w:tc>
          <w:tcPr>
            <w:tcW w:w="9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4171" w:rsidRPr="00E74171" w:rsidRDefault="00E74171" w:rsidP="00E74171">
            <w:r w:rsidRPr="00E74171">
              <w:t xml:space="preserve">Adopted domestic provisions corresponding to the </w:t>
            </w:r>
            <w:r w:rsidRPr="00E74171">
              <w:rPr>
                <w:b/>
                <w:bCs/>
              </w:rPr>
              <w:t xml:space="preserve">substantive </w:t>
            </w:r>
            <w:r w:rsidRPr="00E74171">
              <w:t>law provisions of the Budapest Convention</w:t>
            </w:r>
          </w:p>
        </w:tc>
        <w:tc>
          <w:tcPr>
            <w:tcW w:w="23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D5EA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4171" w:rsidRPr="00E74171" w:rsidRDefault="00E74171" w:rsidP="00E74171">
            <w:r w:rsidRPr="00E74171">
              <w:t>106</w:t>
            </w:r>
          </w:p>
        </w:tc>
      </w:tr>
      <w:tr w:rsidR="00E74171" w:rsidRPr="00E74171" w:rsidTr="00E74171">
        <w:trPr>
          <w:trHeight w:val="571"/>
        </w:trPr>
        <w:tc>
          <w:tcPr>
            <w:tcW w:w="9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4171" w:rsidRPr="00E74171" w:rsidRDefault="00E74171" w:rsidP="00E74171">
            <w:r w:rsidRPr="00E74171">
              <w:t xml:space="preserve">Adopted domestic provisions corresponding to the </w:t>
            </w:r>
            <w:r w:rsidRPr="00E74171">
              <w:rPr>
                <w:b/>
                <w:bCs/>
              </w:rPr>
              <w:t xml:space="preserve">procedural </w:t>
            </w:r>
            <w:r w:rsidRPr="00E74171">
              <w:t>law provisions of the Budapest Convention</w:t>
            </w:r>
          </w:p>
        </w:tc>
        <w:tc>
          <w:tcPr>
            <w:tcW w:w="2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BF5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74171" w:rsidRPr="00E74171" w:rsidRDefault="00E74171" w:rsidP="00E74171">
            <w:r w:rsidRPr="00E74171">
              <w:t>82</w:t>
            </w:r>
          </w:p>
        </w:tc>
      </w:tr>
    </w:tbl>
    <w:p w:rsidR="00810D58" w:rsidRDefault="00810D58"/>
    <w:p w:rsidR="00E74171" w:rsidRDefault="00E74171">
      <w:r>
        <w:t xml:space="preserve">Ընդունված </w:t>
      </w:r>
      <w:r w:rsidR="00661E6A">
        <w:t>ներպետական</w:t>
      </w:r>
      <w:r>
        <w:t xml:space="preserve"> դրույթներ, որոնք համապատասխանում են Բուդապեշտի Կոնվենցիայի նյութական իրավունքի դրույթներին</w:t>
      </w:r>
    </w:p>
    <w:p w:rsidR="001F070B" w:rsidRDefault="001F070B" w:rsidP="001F070B"/>
    <w:p w:rsidR="001F070B" w:rsidRDefault="001F070B" w:rsidP="001F070B">
      <w:r>
        <w:t xml:space="preserve">Ընդունված </w:t>
      </w:r>
      <w:r w:rsidR="0037532F">
        <w:t>ներպետական</w:t>
      </w:r>
      <w:bookmarkStart w:id="0" w:name="_GoBack"/>
      <w:bookmarkEnd w:id="0"/>
      <w:r>
        <w:t xml:space="preserve"> դրույթներ, որոնք համապատասխանում են Բուդապեշտի Կոնվենցիայի ընթացակարգային </w:t>
      </w:r>
      <w:r w:rsidR="005460C2">
        <w:t xml:space="preserve">օրենսդրության </w:t>
      </w:r>
      <w:r>
        <w:t>դրույթներին</w:t>
      </w:r>
    </w:p>
    <w:p w:rsidR="001F070B" w:rsidRDefault="001F070B"/>
    <w:p w:rsidR="00E74171" w:rsidRDefault="00E74171"/>
    <w:sectPr w:rsidR="00E74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316"/>
    <w:rsid w:val="001F070B"/>
    <w:rsid w:val="0037532F"/>
    <w:rsid w:val="005460C2"/>
    <w:rsid w:val="00661E6A"/>
    <w:rsid w:val="00810D58"/>
    <w:rsid w:val="00E74171"/>
    <w:rsid w:val="00F7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417F2"/>
  <w15:chartTrackingRefBased/>
  <w15:docId w15:val="{65A70519-7B77-4E2E-BA1A-2288AB22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0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2021-05-15T08:21:00Z</dcterms:created>
  <dcterms:modified xsi:type="dcterms:W3CDTF">2021-05-15T08:24:00Z</dcterms:modified>
</cp:coreProperties>
</file>